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bookmarkStart w:id="0" w:name="_GoBack"/>
      <w:bookmarkEnd w:id="0"/>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29E2BE43" w14:textId="7C48C57C" w:rsidR="00D50E43" w:rsidRPr="00056C36" w:rsidRDefault="00792EE3" w:rsidP="00D50E43">
      <w:pPr>
        <w:adjustRightInd/>
        <w:spacing w:line="378" w:lineRule="exact"/>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spacing w:val="2"/>
          <w:sz w:val="28"/>
          <w:szCs w:val="28"/>
        </w:rPr>
        <w:t>調剤基本料の注６に係る</w:t>
      </w:r>
      <w:r w:rsidR="00D50E43" w:rsidRPr="00056C36">
        <w:rPr>
          <w:rFonts w:asciiTheme="majorEastAsia" w:eastAsiaTheme="majorEastAsia" w:hAnsiTheme="majorEastAsia" w:cs="ＭＳ ゴシック" w:hint="eastAsia"/>
          <w:color w:val="000000" w:themeColor="text1"/>
          <w:spacing w:val="2"/>
          <w:sz w:val="28"/>
          <w:szCs w:val="28"/>
        </w:rPr>
        <w:t>後発医薬品調剤体制加算の施設基準に係る届出</w:t>
      </w:r>
      <w:r w:rsidR="0063763E" w:rsidRPr="00056C36">
        <w:rPr>
          <w:rFonts w:asciiTheme="majorEastAsia" w:eastAsiaTheme="majorEastAsia" w:hAnsiTheme="majorEastAsia" w:cs="ＭＳ ゴシック" w:hint="eastAsia"/>
          <w:color w:val="000000" w:themeColor="text1"/>
          <w:spacing w:val="2"/>
          <w:sz w:val="28"/>
          <w:szCs w:val="28"/>
        </w:rPr>
        <w:t>書添付書類及び「</w:t>
      </w:r>
      <w:r w:rsidR="009F4A29" w:rsidRPr="00056C36">
        <w:rPr>
          <w:rFonts w:asciiTheme="majorEastAsia" w:eastAsiaTheme="majorEastAsia" w:hAnsiTheme="majorEastAsia" w:cs="ＭＳ ゴシック" w:hint="eastAsia"/>
          <w:color w:val="000000" w:themeColor="text1"/>
          <w:spacing w:val="2"/>
          <w:sz w:val="28"/>
          <w:szCs w:val="28"/>
        </w:rPr>
        <w:t>調剤基本料の注</w:t>
      </w:r>
      <w:r>
        <w:rPr>
          <w:rFonts w:asciiTheme="majorEastAsia" w:eastAsiaTheme="majorEastAsia" w:hAnsiTheme="majorEastAsia" w:cs="ＭＳ ゴシック" w:hint="eastAsia"/>
          <w:color w:val="000000" w:themeColor="text1"/>
          <w:spacing w:val="2"/>
          <w:sz w:val="28"/>
          <w:szCs w:val="28"/>
        </w:rPr>
        <w:t>７の後発医薬品調剤割合が著しく低い保険薬局</w:t>
      </w:r>
      <w:r w:rsidR="0063763E" w:rsidRPr="00056C36">
        <w:rPr>
          <w:rFonts w:asciiTheme="majorEastAsia" w:eastAsiaTheme="majorEastAsia" w:hAnsiTheme="majorEastAsia" w:cs="ＭＳ ゴシック" w:hint="eastAsia"/>
          <w:color w:val="000000" w:themeColor="text1"/>
          <w:spacing w:val="2"/>
          <w:sz w:val="28"/>
          <w:szCs w:val="28"/>
        </w:rPr>
        <w:t>に係る報告書」</w:t>
      </w: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5AF4DDC9" w14:textId="77777777" w:rsidTr="007C3AF1">
        <w:trPr>
          <w:trHeight w:val="1350"/>
        </w:trPr>
        <w:tc>
          <w:tcPr>
            <w:tcW w:w="3062" w:type="dxa"/>
            <w:tcBorders>
              <w:top w:val="single" w:sz="12" w:space="0" w:color="auto"/>
              <w:left w:val="single" w:sz="12" w:space="0" w:color="auto"/>
              <w:bottom w:val="single" w:sz="4" w:space="0" w:color="auto"/>
              <w:right w:val="single" w:sz="4" w:space="0" w:color="000000"/>
            </w:tcBorders>
            <w:vAlign w:val="center"/>
          </w:tcPr>
          <w:p w14:paraId="5FA72521"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届出に係る後発医薬品調剤体制加算の区分</w:t>
            </w:r>
          </w:p>
          <w:p w14:paraId="2A4842D3"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14"/>
              </w:rPr>
            </w:pPr>
            <w:r w:rsidRPr="00056C36">
              <w:rPr>
                <w:rFonts w:asciiTheme="majorEastAsia" w:eastAsiaTheme="majorEastAsia" w:hAnsiTheme="majorEastAsia" w:cs="ＭＳ ゴシック" w:hint="eastAsia"/>
                <w:color w:val="000000" w:themeColor="text1"/>
                <w:spacing w:val="8"/>
              </w:rPr>
              <w:t>（いずれかに○を付す）</w:t>
            </w:r>
          </w:p>
        </w:tc>
        <w:tc>
          <w:tcPr>
            <w:tcW w:w="6662" w:type="dxa"/>
            <w:tcBorders>
              <w:top w:val="single" w:sz="12" w:space="0" w:color="auto"/>
              <w:left w:val="single" w:sz="4" w:space="0" w:color="000000"/>
              <w:bottom w:val="single" w:sz="4" w:space="0" w:color="auto"/>
              <w:right w:val="single" w:sz="12" w:space="0" w:color="auto"/>
            </w:tcBorders>
          </w:tcPr>
          <w:p w14:paraId="31385858"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　後発医薬品調剤体制加算１</w:t>
            </w:r>
          </w:p>
          <w:p w14:paraId="59A1EA94" w14:textId="41F020B9"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75</w:t>
            </w:r>
            <w:r w:rsidRPr="00056C36">
              <w:rPr>
                <w:rFonts w:asciiTheme="majorEastAsia" w:eastAsiaTheme="majorEastAsia" w:hAnsiTheme="majorEastAsia" w:cs="ＭＳ ゴシック" w:hint="eastAsia"/>
                <w:color w:val="000000" w:themeColor="text1"/>
                <w:spacing w:val="8"/>
              </w:rPr>
              <w:t>％以上）</w:t>
            </w:r>
          </w:p>
          <w:p w14:paraId="33B11BF7"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　後発医薬品調剤体制加算２</w:t>
            </w:r>
          </w:p>
          <w:p w14:paraId="7CDE8DBD" w14:textId="39E20281"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80</w:t>
            </w:r>
            <w:r w:rsidRPr="00056C36">
              <w:rPr>
                <w:rFonts w:asciiTheme="majorEastAsia" w:eastAsiaTheme="majorEastAsia" w:hAnsiTheme="majorEastAsia" w:cs="ＭＳ ゴシック" w:hint="eastAsia"/>
                <w:color w:val="000000" w:themeColor="text1"/>
                <w:spacing w:val="8"/>
              </w:rPr>
              <w:t>％以上）</w:t>
            </w:r>
          </w:p>
          <w:p w14:paraId="00F091B6" w14:textId="44FA04F5" w:rsidR="00FA793A" w:rsidRPr="00056C36" w:rsidRDefault="00FA793A" w:rsidP="0063763E">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　後発医薬品調剤体制加算３</w:t>
            </w:r>
          </w:p>
          <w:p w14:paraId="2C8A914C" w14:textId="3AD0CF60" w:rsidR="00FA793A" w:rsidRPr="00056C36" w:rsidRDefault="00FA793A" w:rsidP="00FA793A">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8</w:t>
            </w:r>
            <w:r w:rsidRPr="00056C36">
              <w:rPr>
                <w:rFonts w:asciiTheme="majorEastAsia" w:eastAsiaTheme="majorEastAsia" w:hAnsiTheme="majorEastAsia" w:cs="ＭＳ ゴシック"/>
                <w:color w:val="000000" w:themeColor="text1"/>
                <w:spacing w:val="24"/>
              </w:rPr>
              <w:t>5</w:t>
            </w:r>
            <w:r w:rsidRPr="00056C36">
              <w:rPr>
                <w:rFonts w:asciiTheme="majorEastAsia" w:eastAsiaTheme="majorEastAsia" w:hAnsiTheme="majorEastAsia" w:cs="ＭＳ ゴシック" w:hint="eastAsia"/>
                <w:color w:val="000000" w:themeColor="text1"/>
                <w:spacing w:val="8"/>
              </w:rPr>
              <w:t>％以上）</w:t>
            </w:r>
          </w:p>
        </w:tc>
      </w:tr>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0ECD1E89"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w:t>
            </w:r>
            <w:r w:rsidR="00792EE3">
              <w:rPr>
                <w:rFonts w:asciiTheme="majorEastAsia" w:eastAsiaTheme="majorEastAsia" w:hAnsiTheme="majorEastAsia" w:cs="ＭＳ ゴシック" w:hint="eastAsia"/>
                <w:color w:val="000000" w:themeColor="text1"/>
                <w:spacing w:val="8"/>
              </w:rPr>
              <w:t>７</w:t>
            </w:r>
            <w:r w:rsidRPr="00056C36">
              <w:rPr>
                <w:rFonts w:asciiTheme="majorEastAsia" w:eastAsiaTheme="majorEastAsia" w:hAnsiTheme="majorEastAsia" w:cs="ＭＳ ゴシック" w:hint="eastAsia"/>
                <w:color w:val="000000" w:themeColor="text1"/>
                <w:spacing w:val="8"/>
              </w:rPr>
              <w:t>」</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6E19243D"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00792EE3">
              <w:rPr>
                <w:rFonts w:asciiTheme="majorEastAsia" w:eastAsiaTheme="majorEastAsia" w:hAnsiTheme="majorEastAsia" w:cs="ＭＳ ゴシック"/>
                <w:color w:val="000000" w:themeColor="text1"/>
                <w:spacing w:val="24"/>
              </w:rPr>
              <w:t>4</w:t>
            </w:r>
            <w:r w:rsidRPr="00056C36">
              <w:rPr>
                <w:rFonts w:asciiTheme="majorEastAsia" w:eastAsiaTheme="majorEastAsia" w:hAnsiTheme="majorEastAsia" w:cs="ＭＳ ゴシック" w:hint="eastAsia"/>
                <w:color w:val="000000" w:themeColor="text1"/>
                <w:spacing w:val="24"/>
              </w:rPr>
              <w:t>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55903A62"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0040292C">
              <w:rPr>
                <w:rFonts w:asciiTheme="majorEastAsia" w:eastAsiaTheme="majorEastAsia" w:hAnsiTheme="majorEastAsia" w:cs="ＭＳ ゴシック"/>
                <w:color w:val="000000" w:themeColor="text1"/>
                <w:spacing w:val="24"/>
              </w:rPr>
              <w:t>4</w:t>
            </w:r>
            <w:r w:rsidRPr="00056C36">
              <w:rPr>
                <w:rFonts w:asciiTheme="majorEastAsia" w:eastAsiaTheme="majorEastAsia" w:hAnsiTheme="majorEastAsia" w:cs="ＭＳ ゴシック" w:hint="eastAsia"/>
                <w:color w:val="000000" w:themeColor="text1"/>
                <w:spacing w:val="24"/>
              </w:rPr>
              <w:t>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A262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711CC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356FAF0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年　　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3EF2CF7C" w:rsidR="00A7262B" w:rsidRDefault="00A7262B" w:rsidP="00D50E43">
      <w:pPr>
        <w:adjustRightInd/>
        <w:rPr>
          <w:rFonts w:asciiTheme="majorEastAsia" w:eastAsiaTheme="majorEastAsia" w:hAnsiTheme="majorEastAsia" w:cs="Times New Roman"/>
          <w:color w:val="000000" w:themeColor="text1"/>
          <w:spacing w:val="6"/>
        </w:rPr>
      </w:pPr>
      <w:r>
        <w:rPr>
          <w:rFonts w:asciiTheme="majorEastAsia" w:eastAsiaTheme="majorEastAsia" w:hAnsiTheme="majorEastAsia" w:cs="Times New Roman"/>
          <w:color w:val="000000" w:themeColor="text1"/>
          <w:spacing w:val="6"/>
        </w:rPr>
        <w:br w:type="page"/>
      </w:r>
    </w:p>
    <w:p w14:paraId="5F64096B" w14:textId="191CB61E"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以下は、新指標</w:t>
      </w:r>
      <w:r w:rsidR="00392BBC" w:rsidRPr="00056C36">
        <w:rPr>
          <w:rFonts w:asciiTheme="majorEastAsia" w:eastAsiaTheme="majorEastAsia" w:hAnsiTheme="majorEastAsia" w:cs="Times New Roman" w:hint="eastAsia"/>
          <w:color w:val="000000" w:themeColor="text1"/>
          <w:spacing w:val="6"/>
        </w:rPr>
        <w:t>の割合が</w:t>
      </w:r>
      <w:r w:rsidR="00792EE3">
        <w:rPr>
          <w:rFonts w:asciiTheme="majorEastAsia" w:eastAsiaTheme="majorEastAsia" w:hAnsiTheme="majorEastAsia" w:cs="Times New Roman" w:hint="eastAsia"/>
          <w:color w:val="000000" w:themeColor="text1"/>
          <w:spacing w:val="6"/>
        </w:rPr>
        <w:t>4</w:t>
      </w:r>
      <w:r w:rsidRPr="00056C36">
        <w:rPr>
          <w:rFonts w:asciiTheme="majorEastAsia" w:eastAsiaTheme="majorEastAsia" w:hAnsiTheme="majorEastAsia" w:cs="Times New Roman" w:hint="eastAsia"/>
          <w:color w:val="000000" w:themeColor="text1"/>
          <w:spacing w:val="6"/>
        </w:rPr>
        <w:t>0％</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17639C22"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Pr="00056C36">
              <w:rPr>
                <w:rFonts w:asciiTheme="majorEastAsia" w:eastAsiaTheme="majorEastAsia" w:hAnsiTheme="majorEastAsia" w:cs="Times New Roman" w:hint="eastAsia"/>
                <w:color w:val="000000" w:themeColor="text1"/>
                <w:spacing w:val="6"/>
              </w:rPr>
              <w:t>に用いた年月：　　年　　　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78A1EA0A"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w:t>
      </w:r>
      <w:r w:rsidR="0040292C">
        <w:rPr>
          <w:rFonts w:asciiTheme="majorEastAsia" w:eastAsiaTheme="majorEastAsia" w:hAnsiTheme="majorEastAsia" w:cs="ＭＳ ゴシック" w:hint="eastAsia"/>
          <w:color w:val="000000" w:themeColor="text1"/>
          <w:spacing w:val="2"/>
        </w:rPr>
        <w:t>令和２</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55376F">
        <w:rPr>
          <w:rFonts w:asciiTheme="majorEastAsia" w:eastAsiaTheme="majorEastAsia" w:hAnsiTheme="majorEastAsia" w:cs="ＭＳ ゴシック" w:hint="eastAsia"/>
          <w:color w:val="000000" w:themeColor="text1"/>
          <w:spacing w:val="2"/>
        </w:rPr>
        <w:t>５</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55376F">
        <w:rPr>
          <w:rFonts w:asciiTheme="majorEastAsia" w:eastAsiaTheme="majorEastAsia" w:hAnsiTheme="majorEastAsia" w:cs="ＭＳ ゴシック" w:hint="eastAsia"/>
          <w:color w:val="000000" w:themeColor="text1"/>
          <w:spacing w:val="2"/>
        </w:rPr>
        <w:t>0305</w:t>
      </w:r>
      <w:r w:rsidRPr="00056C36">
        <w:rPr>
          <w:rFonts w:asciiTheme="majorEastAsia" w:eastAsiaTheme="majorEastAsia" w:hAnsiTheme="majorEastAsia" w:cs="ＭＳ ゴシック"/>
          <w:color w:val="000000" w:themeColor="text1"/>
          <w:spacing w:val="2"/>
        </w:rPr>
        <w:t>第</w:t>
      </w:r>
      <w:r w:rsidR="0055376F">
        <w:rPr>
          <w:rFonts w:asciiTheme="majorEastAsia" w:eastAsiaTheme="majorEastAsia" w:hAnsiTheme="majorEastAsia" w:cs="ＭＳ ゴシック" w:hint="eastAsia"/>
          <w:color w:val="000000" w:themeColor="text1"/>
          <w:spacing w:val="2"/>
        </w:rPr>
        <w:t>７</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3F0EB16D" w:rsidR="009309EE" w:rsidRPr="00866364"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rPr>
      </w:pPr>
      <w:r w:rsidRPr="00056C36">
        <w:rPr>
          <w:rFonts w:asciiTheme="majorEastAsia" w:eastAsiaTheme="majorEastAsia" w:hAnsiTheme="majorEastAsia" w:cs="ＭＳ ゴシック" w:hint="eastAsia"/>
          <w:color w:val="000000" w:themeColor="text1"/>
          <w:spacing w:val="2"/>
        </w:rPr>
        <w:t xml:space="preserve">３　</w:t>
      </w:r>
      <w:r w:rsidR="00392BBC" w:rsidRPr="00056C36">
        <w:rPr>
          <w:rFonts w:asciiTheme="majorEastAsia" w:eastAsiaTheme="majorEastAsia" w:hAnsiTheme="majorEastAsia" w:cs="ＭＳ ゴシック" w:hint="eastAsia"/>
          <w:color w:val="000000" w:themeColor="text1"/>
          <w:spacing w:val="2"/>
        </w:rPr>
        <w:t>「</w:t>
      </w:r>
      <w:r w:rsidRPr="00056C36">
        <w:rPr>
          <w:rFonts w:asciiTheme="majorEastAsia" w:eastAsiaTheme="majorEastAsia" w:hAnsiTheme="majorEastAsia" w:cs="ＭＳ ゴシック" w:hint="eastAsia"/>
          <w:color w:val="000000" w:themeColor="text1"/>
          <w:spacing w:val="8"/>
        </w:rPr>
        <w:t>調剤基本料の「注</w:t>
      </w:r>
      <w:r w:rsidR="0040292C">
        <w:rPr>
          <w:rFonts w:asciiTheme="majorEastAsia" w:eastAsiaTheme="majorEastAsia" w:hAnsiTheme="majorEastAsia" w:cs="ＭＳ ゴシック" w:hint="eastAsia"/>
          <w:color w:val="000000" w:themeColor="text1"/>
          <w:spacing w:val="8"/>
        </w:rPr>
        <w:t>７</w:t>
      </w:r>
      <w:r w:rsidRPr="00056C36">
        <w:rPr>
          <w:rFonts w:asciiTheme="majorEastAsia" w:eastAsiaTheme="majorEastAsia" w:hAnsiTheme="majorEastAsia" w:cs="ＭＳ ゴシック" w:hint="eastAsia"/>
          <w:color w:val="000000" w:themeColor="text1"/>
          <w:spacing w:val="8"/>
        </w:rPr>
        <w:t>」（後発医薬品調剤割合が著しく低い保険薬局）への該当性</w:t>
      </w:r>
      <w:r w:rsidR="00392BBC"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については、</w:t>
      </w:r>
      <w:r w:rsidR="006602F3" w:rsidRPr="00056C36">
        <w:rPr>
          <w:rFonts w:asciiTheme="majorEastAsia" w:eastAsiaTheme="majorEastAsia" w:hAnsiTheme="majorEastAsia" w:cs="ＭＳ ゴシック" w:hint="eastAsia"/>
          <w:color w:val="000000" w:themeColor="text1"/>
          <w:spacing w:val="8"/>
        </w:rPr>
        <w:t>処方箋受付回数が1月に600回を超える保険薬局であり、</w:t>
      </w:r>
      <w:r w:rsidRPr="00056C36">
        <w:rPr>
          <w:rFonts w:asciiTheme="majorEastAsia" w:eastAsiaTheme="majorEastAsia" w:hAnsiTheme="majorEastAsia" w:cs="ＭＳ ゴシック" w:hint="eastAsia"/>
          <w:color w:val="000000" w:themeColor="text1"/>
          <w:spacing w:val="8"/>
        </w:rPr>
        <w:t>後発医薬品調剤体制加算</w:t>
      </w:r>
      <w:r w:rsidR="00392BBC" w:rsidRPr="00056C36">
        <w:rPr>
          <w:rFonts w:asciiTheme="majorEastAsia" w:eastAsiaTheme="majorEastAsia" w:hAnsiTheme="majorEastAsia" w:cs="ＭＳ ゴシック" w:hint="eastAsia"/>
          <w:color w:val="000000" w:themeColor="text1"/>
          <w:spacing w:val="8"/>
        </w:rPr>
        <w:t>の施設基準</w:t>
      </w:r>
      <w:r w:rsidR="006602F3" w:rsidRPr="00056C36">
        <w:rPr>
          <w:rFonts w:asciiTheme="majorEastAsia" w:eastAsiaTheme="majorEastAsia" w:hAnsiTheme="majorEastAsia" w:cs="ＭＳ ゴシック" w:hint="eastAsia"/>
          <w:color w:val="000000" w:themeColor="text1"/>
          <w:spacing w:val="8"/>
        </w:rPr>
        <w:t>のいずれ</w:t>
      </w:r>
      <w:r w:rsidRPr="00056C36">
        <w:rPr>
          <w:rFonts w:asciiTheme="majorEastAsia" w:eastAsiaTheme="majorEastAsia" w:hAnsiTheme="majorEastAsia" w:cs="ＭＳ ゴシック" w:hint="eastAsia"/>
          <w:color w:val="000000" w:themeColor="text1"/>
          <w:spacing w:val="8"/>
        </w:rPr>
        <w:t>に</w:t>
      </w:r>
      <w:r w:rsidR="006602F3" w:rsidRPr="00056C36">
        <w:rPr>
          <w:rFonts w:asciiTheme="majorEastAsia" w:eastAsiaTheme="majorEastAsia" w:hAnsiTheme="majorEastAsia" w:cs="ＭＳ ゴシック" w:hint="eastAsia"/>
          <w:color w:val="000000" w:themeColor="text1"/>
          <w:spacing w:val="8"/>
        </w:rPr>
        <w:t>も</w:t>
      </w:r>
      <w:r w:rsidRPr="00056C36">
        <w:rPr>
          <w:rFonts w:asciiTheme="majorEastAsia" w:eastAsiaTheme="majorEastAsia" w:hAnsiTheme="majorEastAsia" w:cs="ＭＳ ゴシック" w:hint="eastAsia"/>
          <w:color w:val="000000" w:themeColor="text1"/>
          <w:spacing w:val="8"/>
        </w:rPr>
        <w:t>該当しない保険薬局が、調剤基本料の「注</w:t>
      </w:r>
      <w:r w:rsidR="0040292C">
        <w:rPr>
          <w:rFonts w:asciiTheme="majorEastAsia" w:eastAsiaTheme="majorEastAsia" w:hAnsiTheme="majorEastAsia" w:cs="ＭＳ ゴシック" w:hint="eastAsia"/>
          <w:color w:val="000000" w:themeColor="text1"/>
          <w:spacing w:val="8"/>
        </w:rPr>
        <w:t>７</w:t>
      </w:r>
      <w:r w:rsidRPr="00056C36">
        <w:rPr>
          <w:rFonts w:asciiTheme="majorEastAsia" w:eastAsiaTheme="majorEastAsia" w:hAnsiTheme="majorEastAsia" w:cs="ＭＳ ゴシック" w:hint="eastAsia"/>
          <w:color w:val="000000" w:themeColor="text1"/>
          <w:spacing w:val="8"/>
        </w:rPr>
        <w:t>」への該当性を地方厚生（支）局長へ報告する際に用いること。</w:t>
      </w:r>
    </w:p>
    <w:sectPr w:rsidR="009309EE" w:rsidRPr="0086636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752E" w14:textId="77777777" w:rsidR="00A872EF" w:rsidRDefault="00A872EF">
      <w:r>
        <w:separator/>
      </w:r>
    </w:p>
  </w:endnote>
  <w:endnote w:type="continuationSeparator" w:id="0">
    <w:p w14:paraId="49E94C11" w14:textId="77777777" w:rsidR="00A872EF" w:rsidRDefault="00A8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796F" w14:textId="77777777" w:rsidR="00A872EF" w:rsidRDefault="00A872EF">
      <w:r>
        <w:rPr>
          <w:rFonts w:hAnsi="Times New Roman" w:cs="Times New Roman"/>
          <w:color w:val="auto"/>
          <w:sz w:val="2"/>
          <w:szCs w:val="2"/>
        </w:rPr>
        <w:continuationSeparator/>
      </w:r>
    </w:p>
  </w:footnote>
  <w:footnote w:type="continuationSeparator" w:id="0">
    <w:p w14:paraId="33795A8F" w14:textId="77777777" w:rsidR="00A872EF" w:rsidRDefault="00A87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5ECD"/>
    <w:rsid w:val="00216F08"/>
    <w:rsid w:val="00221DBB"/>
    <w:rsid w:val="00241F4B"/>
    <w:rsid w:val="00243277"/>
    <w:rsid w:val="00250F1F"/>
    <w:rsid w:val="00252A4E"/>
    <w:rsid w:val="002751FA"/>
    <w:rsid w:val="00276983"/>
    <w:rsid w:val="0029067D"/>
    <w:rsid w:val="002962DB"/>
    <w:rsid w:val="002A34C3"/>
    <w:rsid w:val="002B0004"/>
    <w:rsid w:val="002B1580"/>
    <w:rsid w:val="002B44BD"/>
    <w:rsid w:val="002C32DC"/>
    <w:rsid w:val="002D358E"/>
    <w:rsid w:val="002D6E12"/>
    <w:rsid w:val="002F24F2"/>
    <w:rsid w:val="003038B9"/>
    <w:rsid w:val="00326861"/>
    <w:rsid w:val="00340B34"/>
    <w:rsid w:val="003627C9"/>
    <w:rsid w:val="003718E6"/>
    <w:rsid w:val="003733CA"/>
    <w:rsid w:val="00392BBC"/>
    <w:rsid w:val="003A4D2F"/>
    <w:rsid w:val="003B2764"/>
    <w:rsid w:val="003B4BC7"/>
    <w:rsid w:val="003D3063"/>
    <w:rsid w:val="003F25EB"/>
    <w:rsid w:val="0040292C"/>
    <w:rsid w:val="00402D49"/>
    <w:rsid w:val="004306FF"/>
    <w:rsid w:val="00444826"/>
    <w:rsid w:val="00463843"/>
    <w:rsid w:val="00483284"/>
    <w:rsid w:val="004A1D25"/>
    <w:rsid w:val="004A5109"/>
    <w:rsid w:val="004A6EFB"/>
    <w:rsid w:val="004C64E9"/>
    <w:rsid w:val="004C721A"/>
    <w:rsid w:val="004D31F9"/>
    <w:rsid w:val="004D42F8"/>
    <w:rsid w:val="004D657C"/>
    <w:rsid w:val="004E0ED1"/>
    <w:rsid w:val="0050040D"/>
    <w:rsid w:val="00506989"/>
    <w:rsid w:val="00507AE6"/>
    <w:rsid w:val="0052009D"/>
    <w:rsid w:val="00536079"/>
    <w:rsid w:val="0055376F"/>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2EE3"/>
    <w:rsid w:val="007973E1"/>
    <w:rsid w:val="007C3AF1"/>
    <w:rsid w:val="007D310B"/>
    <w:rsid w:val="007D4251"/>
    <w:rsid w:val="007D66DD"/>
    <w:rsid w:val="007D6B8B"/>
    <w:rsid w:val="007E014F"/>
    <w:rsid w:val="007E369D"/>
    <w:rsid w:val="007E62BF"/>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F4A29"/>
    <w:rsid w:val="009F6798"/>
    <w:rsid w:val="00A05C5C"/>
    <w:rsid w:val="00A07DE4"/>
    <w:rsid w:val="00A140A0"/>
    <w:rsid w:val="00A16241"/>
    <w:rsid w:val="00A16E8A"/>
    <w:rsid w:val="00A37CDA"/>
    <w:rsid w:val="00A7262B"/>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81613"/>
    <w:rsid w:val="00BB0413"/>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7527"/>
    <w:rsid w:val="00D50E43"/>
    <w:rsid w:val="00DC023A"/>
    <w:rsid w:val="00DC4676"/>
    <w:rsid w:val="00DD57D7"/>
    <w:rsid w:val="00E10B44"/>
    <w:rsid w:val="00E229EE"/>
    <w:rsid w:val="00E30B6C"/>
    <w:rsid w:val="00E474F5"/>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5FD407E"/>
  <w14:defaultImageDpi w14:val="0"/>
  <w15:docId w15:val="{D23E3249-500F-4458-A232-AB56EBBD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5B17-F970-4D7A-9760-5EA38D75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2018-03-18T09:05:00Z</cp:lastPrinted>
  <dcterms:created xsi:type="dcterms:W3CDTF">2020-03-27T03:20:00Z</dcterms:created>
  <dcterms:modified xsi:type="dcterms:W3CDTF">2020-03-27T03:20:00Z</dcterms:modified>
</cp:coreProperties>
</file>